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 ПСА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08:54 МСК · База обновлена: 23.07.2026, 16:53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Специальность: </w:t>
      </w:r>
      <w:r>
        <w:t>Лечебное дело ПСА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Осуществлен амбулаторный вызов фельдшера ФАП к ребенку - мальчик 3 года.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лающий кашель утром, осиплость голоса, беспокойство.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 остро. На фоне полного здоровья утром появился лающий кашель, с затрудненным шумным вдохом, выражена осиплость голоса. Температура 37,80.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Мальчик от первой беременности, на фоне анемии II степени. Роды срочные. Оценка по шкале АПГАР 8/9 баллов. На грудном вскармливании до 1года. Профилактические прививки по календарю. От гриппа не привит- отказ родителей.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Вес 15 кг. Длина тела – 99см. температура 37,50С. Кожные покровы бледные. Вынужденное положение тела. Голос сиплый. Кашель грубый, при вдохе легкое втяжение в области яремной вырезки. Грудная клетка правильной формы. Перкуторно звук легочный. Дыхание проводится над всеми точками аускультации жесткое. Частота дыхания 40 в минуту. Тоны сердца ясные ритмичные. ЧСС - 120 в мин. Живот доступен пальпации, безболезненный.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стенозу гортани I степени (стадия компенсации)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осиплость, грубый навязчивый кашель, беспокойство, страх, возможна апатия, резкая одышка с выраженным втяжением податливых мест грудной клетки, бледность, акроцианоз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резкая бледность и цианоз, гипотермия, возможны судороги, мидриаз, дыхание частое, поверхностное, артериальная гипотензия, нитевидный пульс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осиплость, грубый навязчивый кашель, умеренная одышка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грубый навязчивый кашель, выраженная одышка, возбуждение, дыхание с участием вспомогательной мускулатуры, втяжением податливых мест грудной клетки, раздуванием крыльев носа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осиплость, грубый навязчивый кашель, умеренная одышка</w:t>
      </w:r>
    </w:p>
    <w:p>
      <w:pPr>
        <w:ind w:left="504"/>
      </w:pPr>
      <w:r>
        <w:rPr>
          <w:b w:val="0"/>
          <w:i/>
        </w:rPr>
        <w:t>Таблица 1. Степени стеноза гортани (по В.Ф. Ундрицу, 1969 г.)</w:t>
        <w:br/>
        <w:br/>
        <w:t>|Степень</w:t>
        <w:tab/>
        <w:t>|Клинические проявления</w:t>
        <w:br/>
        <w:t>|I (стадия компенсации)</w:t>
        <w:tab/>
        <w:t>|Осиплость, грубый навязчивый кашель,</w:t>
        <w:br/>
        <w:t>умеренная одышка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преобладающему этиологическому фактору воспаления гортани, сопровождающееся развитием крупа,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риновирусы и вирусы простого герпеса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вирусы парагриппа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респираторно-синцитиальные вирусы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аденовирусы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вирусы парагриппа</w:t>
      </w:r>
    </w:p>
    <w:p>
      <w:pPr>
        <w:ind w:left="504"/>
      </w:pPr>
      <w:r>
        <w:rPr>
          <w:b w:val="0"/>
          <w:i/>
        </w:rPr>
        <w:t>Наиболее часто причинно значимыми возбудителями острого обструктивного ларингита являются респираторные вирусы, причем до 80% случаев крупа обусловлено вирусом парагриппа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анамнез и клинические данные, ребенку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ларингит, стеноз II степени, среднетяжелое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ларингит, стеноз III степени, тяжелое течение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ларингит, стеноз I степени, средней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ларингит, без стеноза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Острый ларингит, стеноз I степени, средней степени тяжести</w:t>
      </w:r>
    </w:p>
    <w:p>
      <w:pPr>
        <w:ind w:left="504"/>
      </w:pPr>
      <w:r>
        <w:rPr>
          <w:b w:val="0"/>
          <w:i/>
        </w:rPr>
        <w:t>.2+h|Признаки</w:t>
        <w:tab/>
        <w:t>4+h|Степень тяжести</w:t>
        <w:br/>
        <w:t>|Легкая</w:t>
        <w:tab/>
        <w:t>|Среднетяжелая</w:t>
        <w:tab/>
        <w:t>|Тяжелая</w:t>
        <w:tab/>
        <w:t>|Терминальная</w:t>
        <w:br/>
        <w:t>|Лающий кашель</w:t>
        <w:tab/>
        <w:t>|Редко</w:t>
        <w:tab/>
        <w:t>|Часто</w:t>
        <w:tab/>
        <w:t>|Часто</w:t>
        <w:tab/>
        <w:t>|Редко в связи с апатией</w:t>
        <w:br/>
        <w:t>|Стридор</w:t>
        <w:tab/>
        <w:t>|В покое отсутствует или имеет минимальные проявления</w:t>
        <w:tab/>
        <w:t>|Легко слышен в покое</w:t>
        <w:tab/>
        <w:t>|Постоянно слышен на вдохе и периодически на выдохе</w:t>
        <w:tab/>
        <w:t>|Слышен в покое, но может быть тихим или почти неразличимым</w:t>
        <w:br/>
        <w:t>|Втяжение надключичных и/или межреберных промежутков</w:t>
        <w:tab/>
        <w:t>|Отсутствует или выражено незначительно</w:t>
        <w:tab/>
        <w:t>|Заметно в покое</w:t>
        <w:tab/>
        <w:t>|Выраженное</w:t>
        <w:tab/>
        <w:t>|Может быть незаметно</w:t>
        <w:br/>
        <w:t>|Дистресс, возбуждение или сонливость (гипоксия ЦНС)</w:t>
        <w:tab/>
        <w:t>|Отсутствует</w:t>
        <w:tab/>
        <w:t>|Отсутствует или незначительная</w:t>
        <w:tab/>
        <w:t>|Может быть выраженная сонливость</w:t>
        <w:tab/>
        <w:t>|Выраженная сонливость или нарушение сознания</w:t>
        <w:br/>
        <w:t>|Цианоз</w:t>
        <w:tab/>
        <w:t>|Нет</w:t>
        <w:tab/>
        <w:t>|Нет</w:t>
        <w:tab/>
        <w:t>|Нет</w:t>
        <w:tab/>
        <w:t>|Бледность и синюшность кожных покровов без дотации кислорода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Изменения при крупе локализуются исключительно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над голосовыми связками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подскладочной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голосовых связках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уровне трахеи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подскладочной области</w:t>
      </w:r>
    </w:p>
    <w:p>
      <w:pPr>
        <w:ind w:left="504"/>
      </w:pPr>
      <w:r>
        <w:rPr>
          <w:b w:val="0"/>
          <w:i/>
        </w:rPr>
        <w:t>Острый обструктивный ларингит (круп) - воспаление гортани и тканей подскладочного пространства с сужением просвета гортани.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Основа лечения вирусных стенозов гортани включает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ингаляций с физиологическим раствором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глюкокортикостероидов в ингаляциях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антигистаминных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тепловых ингаляций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глюкокортикостероидов в ингаляциях</w:t>
      </w:r>
    </w:p>
    <w:p>
      <w:pPr>
        <w:ind w:left="504"/>
      </w:pPr>
      <w:r>
        <w:rPr>
          <w:b w:val="0"/>
          <w:i/>
        </w:rPr>
        <w:t>Для терапии крупа рекомендуется применение глюкокортикостероидных препаратов.</w:t>
        <w:br/>
        <w:br/>
        <w:t>Комментарии: согласно международному консенсусу, а также рекомендациям Всемирной организации здравоохранения, основу лечения острого обструктивного ларингита составляют ингаляционные и системные глюкокортикостероиды.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Доза будесонида для ингаляции при стенозе гортани II степени составляет _____ мг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</w:t>
      </w:r>
    </w:p>
    <w:p>
      <w:pPr>
        <w:ind w:left="504"/>
      </w:pPr>
      <w:r>
        <w:rPr>
          <w:b w:val="0"/>
          <w:i/>
        </w:rPr>
        <w:t>Для купирования крупа эффективно ингаляционное введение суспензии Будесонида через компрессорный небулайзер или МЭШ (мембранный)- небулайзер в дозировке 2 мг в сутки. Дозу препарата можно принять за один раз(единовременно) или разделить ее на два приема по 1 мг в 30 минут. В 85% случаев (обычно при стенозе гортани 1 степени) бывает достаточно 1 процедуры. При необходимости, возможно повторение ингаляций согласно инструкции.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невозможности проведения ингаляции, выраженном беспокойстве ребенка проводят парентеральное введение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глюкокортикоидов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бронхолитиков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антибиотиков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антигистаминных препаратов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глюкокортикоидов</w:t>
      </w:r>
    </w:p>
    <w:p>
      <w:pPr>
        <w:ind w:left="504"/>
      </w:pPr>
      <w:r>
        <w:rPr>
          <w:b w:val="0"/>
          <w:i/>
        </w:rPr>
        <w:t>Дексаметазон{asterisk}{asterisk} (код ATX: H02AB02) 0,15–0,6 мг/кг вводится внутримышечно (или внутривенно) детям со стенозом гортани 2 степени или при неэффективности ингаляции суспензии Будесонида{asterisk}{asterisk} при стенозе 1 степени, а также детям младшего возраста при невозможности адекватного проведения ингаляции или чрезмерном беспокойстве ребенка при попытке ингаляции Будесонидом{asterisk}{asterisk}.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Доза дексаметазона при парентеральном введении составляет +______+ мг/кг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1,0-2,0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3,0-6,0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0,15-0,6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1,5-2,5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0,15-0,6</w:t>
      </w:r>
    </w:p>
    <w:p>
      <w:pPr>
        <w:ind w:left="504"/>
      </w:pPr>
      <w:r>
        <w:rPr>
          <w:b w:val="0"/>
          <w:i/>
        </w:rPr>
        <w:t>Дексаметазон{asterisk}{asterisk} (код ATX: H02AB02) 0,15–0,6 мг/кг вводится внутримышечно (или внутривенно) детям со стенозом гортани 2 степени или при неэффективности ингаляции суспензии Будесонида{asterisk}{asterisk} при стенозе 1 степени, а также детям младшего возраста при невозможности адекватного проведения ингаляции или чрезмерном беспокойстве ребенка при попытке ингаляции Будесонидом{asterisk}{asterisk}.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Противовоспалительная антибиотикотерапия детям при ларингите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назначается всем детям не зависимо от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назначается при стенозе III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назначается детям до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показана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показана</w:t>
      </w:r>
    </w:p>
    <w:p>
      <w:pPr>
        <w:ind w:left="504"/>
      </w:pPr>
      <w:r>
        <w:rPr>
          <w:b w:val="0"/>
          <w:i/>
        </w:rPr>
        <w:t>Антибактериальная терапия не рекомендуется к назначению при крупе, т.к. не имеет эффективности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Показанием к госпитализации детей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больного ребенка в семье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 ребенка до 6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желание родителей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стеноз 2-3 степени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стеноз 2-3 степени</w:t>
      </w:r>
    </w:p>
    <w:p>
      <w:pPr>
        <w:ind w:left="504"/>
      </w:pPr>
      <w:r>
        <w:rPr>
          <w:b w:val="0"/>
          <w:i/>
        </w:rPr>
        <w:t>Госпитализация показана в следующих случаях:</w:t>
        <w:br/>
        <w:br/>
        <w:t>- стеноз гортани 2-3 степени;</w:t>
        <w:br/>
        <w:br/>
        <w:t>- невозможность проведения адекватной терапии в домашних условиях;</w:t>
        <w:br/>
        <w:br/>
        <w:t>- прогрессирующее ухудшение состояния.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 больного со стенозом гортани важно сразу исключить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гастро-эзофагальный рефлюкс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приступ бронхиальной астмы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эпиглоттит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пневмонию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эпиглоттит</w:t>
      </w:r>
    </w:p>
    <w:p>
      <w:pPr>
        <w:ind w:left="504"/>
      </w:pPr>
      <w:r>
        <w:rPr>
          <w:b w:val="0"/>
          <w:i/>
        </w:rPr>
        <w:t>Круп необходимо дифференцировать с другими заболеваниями, сопровождающимися стенозом или обструкцией верхних дыхательных путей, прежде всего с эпиглоттитом, который все еще встречается в условиях отсутствия массовой вакцинации против гемофильной инфекции типа b. В отличие от вирусного крупа эпиглоттиту не свойственны катаральные явления, кашель и осиплость голоса.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Жаропонижающие препараты пациентам без хронической патологии и при отсутствии дискомфорта, связанного с высокой температурой оправданы при температуре +_________+ 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38,5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37,5-38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выше 39 - 39,5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выше 39 - 39,5</w:t>
      </w:r>
    </w:p>
    <w:p>
      <w:pPr>
        <w:ind w:left="504"/>
      </w:pPr>
      <w:r>
        <w:rPr>
          <w:b w:val="0"/>
          <w:i/>
        </w:rPr>
        <w:t>Снижение температуры: лихорадящего ребенка следует раскрыть, обтереть водой Т° 25-30°С. С целью снижения температуры у детей допустимо применение только 2-х препаратов – парацетамола или ибупрофена. Жаропонижающие препараты у здоровых детей ≥3 месяцев оправданы при температуре выше 39-39,5°С. При менее выраженной лихорадке (38-38,5°С) средства, снижающие температуру, показаны детям до 3 месяцев, пациентам с хронической патологией, а также при связанном с температурой дискомфорте. Регулярный (курсовой) прием жаропонижающих нежелателен, повторную дозу вводят только после нового повышения температуры.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 ПСА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352_3/" TargetMode="External"/><Relationship Id="rId21" Type="http://schemas.openxmlformats.org/officeDocument/2006/relationships/hyperlink" Target="https://library.mededtech.ru/rest/documents/KP352_3/#table1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352_3/#paragraph_4p5tkl" TargetMode="External"/><Relationship Id="rId24" Type="http://schemas.openxmlformats.org/officeDocument/2006/relationships/hyperlink" Target="https://library.mededtech.ru/rest/documents/KP352_3/#table2" TargetMode="External"/><Relationship Id="rId25" Type="http://schemas.openxmlformats.org/officeDocument/2006/relationships/hyperlink" Target="https://library.mededtech.ru/rest/documents/KP352_3/#paragraph_rb19ui" TargetMode="External"/><Relationship Id="rId26" Type="http://schemas.openxmlformats.org/officeDocument/2006/relationships/hyperlink" Target="https://library.mededtech.ru/rest/documents/KP352_3/#list_item_gr5uig" TargetMode="External"/><Relationship Id="rId27" Type="http://schemas.openxmlformats.org/officeDocument/2006/relationships/hyperlink" Target="https://library.mededtech.ru/rest/documents/KP352_3/#paragraph_rd7fs7" TargetMode="External"/><Relationship Id="rId28" Type="http://schemas.openxmlformats.org/officeDocument/2006/relationships/image" Target="media/image6.png"/><Relationship Id="rId29" Type="http://schemas.openxmlformats.org/officeDocument/2006/relationships/hyperlink" Target="https://library.mededtech.ru/rest/documents/KP352_3/#paragraph_uqgkhk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KP352_3/#list_item_rpor3a" TargetMode="External"/><Relationship Id="rId32" Type="http://schemas.openxmlformats.org/officeDocument/2006/relationships/hyperlink" Target="https://library.mededtech.ru/rest/documents/KP352_3/#paragraph_tpcsca" TargetMode="External"/><Relationship Id="rId33" Type="http://schemas.openxmlformats.org/officeDocument/2006/relationships/hyperlink" Target="https://library.mededtech.ru/rest/documents/KP352_3/#paragraph_ic5rc9" TargetMode="External"/><Relationship Id="rId34" Type="http://schemas.openxmlformats.org/officeDocument/2006/relationships/hyperlink" Target="https://library.mededtech.ru/rest/documents/KP352_3/#paragraph_ae1vo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